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52" w:rsidRPr="00C4582F" w:rsidRDefault="00593252" w:rsidP="0059325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4582F">
        <w:rPr>
          <w:rFonts w:ascii="Arial" w:hAnsi="Arial" w:cs="Arial"/>
          <w:b/>
          <w:sz w:val="28"/>
          <w:szCs w:val="28"/>
        </w:rPr>
        <w:t>Job Description</w:t>
      </w:r>
    </w:p>
    <w:p w:rsidR="00593252" w:rsidRPr="00C4582F" w:rsidRDefault="00593252" w:rsidP="00593252">
      <w:pPr>
        <w:jc w:val="center"/>
        <w:rPr>
          <w:rFonts w:ascii="Arial" w:hAnsi="Arial" w:cs="Arial"/>
          <w:b/>
          <w:sz w:val="22"/>
          <w:szCs w:val="22"/>
        </w:rPr>
      </w:pPr>
    </w:p>
    <w:p w:rsidR="00593252" w:rsidRPr="00C4582F" w:rsidRDefault="00593252" w:rsidP="00593252">
      <w:pPr>
        <w:rPr>
          <w:rFonts w:ascii="Arial" w:hAnsi="Arial" w:cs="Arial"/>
          <w:sz w:val="22"/>
          <w:szCs w:val="22"/>
        </w:rPr>
      </w:pPr>
      <w:r w:rsidRPr="00C4582F">
        <w:rPr>
          <w:rFonts w:ascii="Arial" w:hAnsi="Arial" w:cs="Arial"/>
          <w:b/>
          <w:sz w:val="22"/>
          <w:szCs w:val="22"/>
        </w:rPr>
        <w:t>Job Title</w:t>
      </w:r>
      <w:r w:rsidRPr="00C4582F">
        <w:rPr>
          <w:rFonts w:ascii="Arial" w:hAnsi="Arial" w:cs="Arial"/>
          <w:sz w:val="22"/>
          <w:szCs w:val="22"/>
        </w:rPr>
        <w:t xml:space="preserve">: </w:t>
      </w:r>
      <w:r w:rsidRPr="00C4582F">
        <w:rPr>
          <w:rFonts w:ascii="Arial" w:hAnsi="Arial" w:cs="Arial"/>
          <w:sz w:val="22"/>
          <w:szCs w:val="22"/>
        </w:rPr>
        <w:tab/>
      </w:r>
      <w:r w:rsidRPr="00C4582F">
        <w:rPr>
          <w:rFonts w:ascii="Arial" w:hAnsi="Arial" w:cs="Arial"/>
          <w:sz w:val="22"/>
          <w:szCs w:val="22"/>
        </w:rPr>
        <w:tab/>
        <w:t>Gambling Service Young People Worker</w:t>
      </w:r>
    </w:p>
    <w:p w:rsidR="00593252" w:rsidRPr="00C4582F" w:rsidRDefault="00593252" w:rsidP="00593252">
      <w:pPr>
        <w:rPr>
          <w:rFonts w:ascii="Arial" w:hAnsi="Arial" w:cs="Arial"/>
          <w:sz w:val="22"/>
          <w:szCs w:val="22"/>
        </w:rPr>
      </w:pPr>
    </w:p>
    <w:p w:rsidR="00593252" w:rsidRPr="00C4582F" w:rsidRDefault="00593252" w:rsidP="00593252">
      <w:pPr>
        <w:rPr>
          <w:rFonts w:ascii="Arial" w:hAnsi="Arial" w:cs="Arial"/>
          <w:sz w:val="22"/>
          <w:szCs w:val="22"/>
        </w:rPr>
      </w:pPr>
      <w:r w:rsidRPr="00C4582F">
        <w:rPr>
          <w:rFonts w:ascii="Arial" w:hAnsi="Arial" w:cs="Arial"/>
          <w:b/>
          <w:sz w:val="22"/>
          <w:szCs w:val="22"/>
        </w:rPr>
        <w:t>Responsible to</w:t>
      </w:r>
      <w:r w:rsidRPr="00C4582F">
        <w:rPr>
          <w:rFonts w:ascii="Arial" w:hAnsi="Arial" w:cs="Arial"/>
          <w:sz w:val="22"/>
          <w:szCs w:val="22"/>
        </w:rPr>
        <w:t>:</w:t>
      </w:r>
      <w:r w:rsidRPr="00C458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Gambling Service Senior</w:t>
      </w:r>
    </w:p>
    <w:p w:rsidR="00593252" w:rsidRPr="00C4582F" w:rsidRDefault="00593252" w:rsidP="00593252">
      <w:pPr>
        <w:rPr>
          <w:rFonts w:ascii="Arial" w:hAnsi="Arial" w:cs="Arial"/>
          <w:sz w:val="22"/>
          <w:szCs w:val="22"/>
        </w:rPr>
      </w:pPr>
    </w:p>
    <w:p w:rsidR="00593252" w:rsidRPr="00C4582F" w:rsidRDefault="00593252" w:rsidP="00593252">
      <w:pPr>
        <w:rPr>
          <w:rFonts w:ascii="Arial" w:hAnsi="Arial" w:cs="Arial"/>
          <w:sz w:val="22"/>
          <w:szCs w:val="22"/>
        </w:rPr>
      </w:pPr>
      <w:r w:rsidRPr="00C4582F">
        <w:rPr>
          <w:rFonts w:ascii="Arial" w:hAnsi="Arial" w:cs="Arial"/>
          <w:b/>
          <w:sz w:val="22"/>
          <w:szCs w:val="22"/>
        </w:rPr>
        <w:t>Salary:</w:t>
      </w:r>
      <w:r w:rsidRPr="00C4582F">
        <w:rPr>
          <w:rFonts w:ascii="Arial" w:hAnsi="Arial" w:cs="Arial"/>
          <w:b/>
          <w:sz w:val="22"/>
          <w:szCs w:val="22"/>
        </w:rPr>
        <w:tab/>
      </w:r>
      <w:r w:rsidRPr="00C4582F">
        <w:rPr>
          <w:rFonts w:ascii="Arial" w:hAnsi="Arial" w:cs="Arial"/>
          <w:sz w:val="22"/>
          <w:szCs w:val="22"/>
        </w:rPr>
        <w:tab/>
        <w:t>Band 5</w:t>
      </w:r>
    </w:p>
    <w:p w:rsidR="00593252" w:rsidRPr="00C4582F" w:rsidRDefault="00593252" w:rsidP="00593252">
      <w:pPr>
        <w:rPr>
          <w:rFonts w:ascii="Arial" w:hAnsi="Arial" w:cs="Arial"/>
          <w:sz w:val="22"/>
          <w:szCs w:val="22"/>
        </w:rPr>
      </w:pPr>
    </w:p>
    <w:p w:rsidR="00593252" w:rsidRDefault="00593252" w:rsidP="00593252">
      <w:pPr>
        <w:pStyle w:val="Default"/>
      </w:pPr>
    </w:p>
    <w:tbl>
      <w:tblPr>
        <w:tblW w:w="9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4"/>
      </w:tblGrid>
      <w:tr w:rsidR="00593252" w:rsidTr="005C62F5">
        <w:trPr>
          <w:trHeight w:val="1157"/>
        </w:trPr>
        <w:tc>
          <w:tcPr>
            <w:tcW w:w="9144" w:type="dxa"/>
          </w:tcPr>
          <w:p w:rsidR="00DD768B" w:rsidRDefault="00593252" w:rsidP="005C62F5">
            <w:pPr>
              <w:pStyle w:val="Default"/>
              <w:rPr>
                <w:b/>
                <w:bCs/>
              </w:rPr>
            </w:pPr>
            <w:r w:rsidRPr="00165F0D">
              <w:rPr>
                <w:b/>
                <w:bCs/>
              </w:rPr>
              <w:t>Job Purpose:</w:t>
            </w:r>
          </w:p>
          <w:p w:rsidR="00DD768B" w:rsidRDefault="00DD768B" w:rsidP="005C62F5">
            <w:pPr>
              <w:pStyle w:val="Default"/>
              <w:rPr>
                <w:b/>
                <w:bCs/>
              </w:rPr>
            </w:pPr>
          </w:p>
          <w:p w:rsidR="00593252" w:rsidRPr="00F124CF" w:rsidRDefault="00DD768B" w:rsidP="00DD7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4CF">
              <w:rPr>
                <w:rFonts w:ascii="Arial" w:hAnsi="Arial" w:cs="Arial"/>
                <w:sz w:val="22"/>
                <w:szCs w:val="22"/>
              </w:rPr>
              <w:t>To be a member of the ARA Gambling Treatment Services Team. To engage young people and youth-facing professionals in the specified region on</w:t>
            </w:r>
            <w:r w:rsidR="00F124CF" w:rsidRPr="00F124CF">
              <w:rPr>
                <w:rFonts w:ascii="Arial" w:hAnsi="Arial" w:cs="Arial"/>
                <w:sz w:val="22"/>
                <w:szCs w:val="22"/>
              </w:rPr>
              <w:t xml:space="preserve"> the topic of problem gambling. </w:t>
            </w:r>
            <w:r w:rsidR="00C9059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124CF" w:rsidRPr="00F124CF">
              <w:rPr>
                <w:rFonts w:ascii="Arial" w:hAnsi="Arial" w:cs="Arial"/>
                <w:sz w:val="22"/>
                <w:szCs w:val="22"/>
              </w:rPr>
              <w:t xml:space="preserve"> role</w:t>
            </w:r>
            <w:r w:rsidRPr="00F124CF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="00F124CF" w:rsidRPr="00F124CF">
              <w:rPr>
                <w:rFonts w:ascii="Arial" w:hAnsi="Arial" w:cs="Arial"/>
                <w:sz w:val="22"/>
                <w:szCs w:val="22"/>
              </w:rPr>
              <w:t xml:space="preserve"> include</w:t>
            </w:r>
            <w:r w:rsidRPr="00F124CF">
              <w:rPr>
                <w:rFonts w:ascii="Arial" w:hAnsi="Arial" w:cs="Arial"/>
                <w:sz w:val="22"/>
                <w:szCs w:val="22"/>
              </w:rPr>
              <w:t xml:space="preserve"> upskill</w:t>
            </w:r>
            <w:r w:rsidR="00F124CF" w:rsidRPr="00F124CF">
              <w:rPr>
                <w:rFonts w:ascii="Arial" w:hAnsi="Arial" w:cs="Arial"/>
                <w:sz w:val="22"/>
                <w:szCs w:val="22"/>
              </w:rPr>
              <w:t>ing</w:t>
            </w:r>
            <w:r w:rsidRPr="00F124CF">
              <w:rPr>
                <w:rFonts w:ascii="Arial" w:hAnsi="Arial" w:cs="Arial"/>
                <w:sz w:val="22"/>
                <w:szCs w:val="22"/>
              </w:rPr>
              <w:t xml:space="preserve"> professionals to be able to e</w:t>
            </w:r>
            <w:r w:rsidR="00F124CF" w:rsidRPr="00F124CF">
              <w:rPr>
                <w:rFonts w:ascii="Arial" w:hAnsi="Arial" w:cs="Arial"/>
                <w:sz w:val="22"/>
                <w:szCs w:val="22"/>
              </w:rPr>
              <w:t>ducate and talk to young people</w:t>
            </w:r>
            <w:r w:rsidRPr="00F124CF">
              <w:rPr>
                <w:rFonts w:ascii="Arial" w:hAnsi="Arial" w:cs="Arial"/>
                <w:sz w:val="22"/>
                <w:szCs w:val="22"/>
              </w:rPr>
              <w:t xml:space="preserve"> about gambling related harm</w:t>
            </w:r>
            <w:r w:rsidR="00F124CF" w:rsidRPr="00F124CF">
              <w:rPr>
                <w:rFonts w:ascii="Arial" w:hAnsi="Arial" w:cs="Arial"/>
                <w:sz w:val="22"/>
                <w:szCs w:val="22"/>
              </w:rPr>
              <w:t>s</w:t>
            </w:r>
            <w:r w:rsidR="00C9059B">
              <w:rPr>
                <w:rFonts w:ascii="Arial" w:hAnsi="Arial" w:cs="Arial"/>
                <w:sz w:val="22"/>
                <w:szCs w:val="22"/>
              </w:rPr>
              <w:t xml:space="preserve"> and to</w:t>
            </w:r>
            <w:r w:rsidRPr="00F124CF">
              <w:rPr>
                <w:rFonts w:ascii="Arial" w:hAnsi="Arial" w:cs="Arial"/>
                <w:sz w:val="22"/>
                <w:szCs w:val="22"/>
              </w:rPr>
              <w:t xml:space="preserve"> educate young people how to gamble responsibly, dangers of gambling and where to get help if needed. </w:t>
            </w:r>
            <w:r w:rsidR="00C9059B">
              <w:rPr>
                <w:rFonts w:ascii="Arial" w:hAnsi="Arial" w:cs="Arial"/>
                <w:sz w:val="22"/>
                <w:szCs w:val="22"/>
              </w:rPr>
              <w:t>T</w:t>
            </w:r>
            <w:r w:rsidR="00F124CF" w:rsidRPr="00F124CF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263D1B">
              <w:rPr>
                <w:rFonts w:ascii="Arial" w:hAnsi="Arial" w:cs="Arial"/>
                <w:sz w:val="22"/>
                <w:szCs w:val="22"/>
              </w:rPr>
              <w:t>Young People Worker</w:t>
            </w:r>
            <w:r w:rsidR="00593252" w:rsidRPr="00F124CF">
              <w:rPr>
                <w:rFonts w:ascii="Arial" w:hAnsi="Arial" w:cs="Arial"/>
                <w:sz w:val="22"/>
                <w:szCs w:val="22"/>
              </w:rPr>
              <w:t xml:space="preserve"> will contribute to an enthusiastic and friendly local and national team of facilitators working across Britain.</w:t>
            </w:r>
          </w:p>
          <w:p w:rsidR="00593252" w:rsidRDefault="00593252" w:rsidP="005C62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93252" w:rsidTr="005C62F5">
        <w:trPr>
          <w:trHeight w:val="4127"/>
        </w:trPr>
        <w:tc>
          <w:tcPr>
            <w:tcW w:w="9144" w:type="dxa"/>
          </w:tcPr>
          <w:p w:rsidR="00593252" w:rsidRPr="00165F0D" w:rsidRDefault="00593252" w:rsidP="005C62F5">
            <w:pPr>
              <w:pStyle w:val="Default"/>
            </w:pPr>
            <w:r w:rsidRPr="00165F0D">
              <w:rPr>
                <w:b/>
                <w:bCs/>
              </w:rPr>
              <w:t xml:space="preserve">Key Duties and Responsibilities </w:t>
            </w:r>
          </w:p>
          <w:p w:rsidR="00593252" w:rsidRDefault="00593252" w:rsidP="005C62F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  <w:r w:rsidRPr="00B33F44">
              <w:rPr>
                <w:b/>
                <w:bCs/>
                <w:color w:val="1F4E79" w:themeColor="accent1" w:themeShade="80"/>
                <w:sz w:val="23"/>
                <w:szCs w:val="23"/>
              </w:rPr>
              <w:t>Core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93252" w:rsidRDefault="00593252" w:rsidP="0059325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Establish and/or reinforce the reputation of the Ara Youth Outreach programme</w:t>
            </w:r>
          </w:p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youth work settings across the region. </w:t>
            </w:r>
          </w:p>
          <w:p w:rsidR="00593252" w:rsidRDefault="00593252" w:rsidP="0059325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Promote, arrange and deliver training sessions in problem gambling</w:t>
            </w:r>
          </w:p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identification and brief advice to youth-facing professionals (e.g. youth workers, teachers, social workers) in the region. </w:t>
            </w:r>
          </w:p>
          <w:p w:rsidR="00593252" w:rsidRDefault="00593252" w:rsidP="0059325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Promote, arrange and deliver young peoples’ workshops in building knowledge</w:t>
            </w:r>
          </w:p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and critical thinking to enable safer gambling to 11-19 year olds in the region. </w:t>
            </w:r>
          </w:p>
          <w:p w:rsidR="00593252" w:rsidRDefault="00593252" w:rsidP="0059325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Maintain accurate records and provide statistical information required to assist </w:t>
            </w:r>
          </w:p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delivery and evaluation. </w:t>
            </w:r>
          </w:p>
          <w:p w:rsidR="00593252" w:rsidRDefault="00593252" w:rsidP="0059325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a point of contact for people interested in Ara young people’s projects in the </w:t>
            </w:r>
          </w:p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region </w:t>
            </w:r>
          </w:p>
          <w:p w:rsidR="00593252" w:rsidRDefault="00593252" w:rsidP="0059325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 part of the delivery team for this programme and attend the Youth </w:t>
            </w:r>
          </w:p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Outreach Project Group meetings on a quarterly basis and other remote team meetings as required, contributing feedback about your region and suggestions for improvements/amendments to content and strategy </w:t>
            </w:r>
          </w:p>
          <w:p w:rsidR="00593252" w:rsidRDefault="00593252" w:rsidP="0059325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Liaise regularly with Quality and Performance Co-ordinator to ensure the most </w:t>
            </w:r>
          </w:p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effective and highest quality service possible. </w:t>
            </w:r>
          </w:p>
          <w:p w:rsidR="00593252" w:rsidRDefault="00593252" w:rsidP="0059325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responsibilities to Child Protection and Safeguarding, promoting </w:t>
            </w:r>
          </w:p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children and young people’s welfare in relation to all advice, support, interventions and services described above. </w:t>
            </w:r>
          </w:p>
        </w:tc>
      </w:tr>
    </w:tbl>
    <w:p w:rsidR="00593252" w:rsidRDefault="00593252" w:rsidP="0059325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593252" w:rsidTr="005C62F5">
        <w:trPr>
          <w:trHeight w:val="818"/>
        </w:trPr>
        <w:tc>
          <w:tcPr>
            <w:tcW w:w="9143" w:type="dxa"/>
          </w:tcPr>
          <w:p w:rsidR="00F124CF" w:rsidRDefault="00F124CF" w:rsidP="005C62F5">
            <w:pPr>
              <w:pStyle w:val="Default"/>
              <w:rPr>
                <w:b/>
                <w:bCs/>
              </w:rPr>
            </w:pPr>
          </w:p>
          <w:p w:rsidR="00F124CF" w:rsidRDefault="00F124CF" w:rsidP="005C62F5">
            <w:pPr>
              <w:pStyle w:val="Default"/>
              <w:rPr>
                <w:b/>
                <w:bCs/>
              </w:rPr>
            </w:pPr>
          </w:p>
          <w:p w:rsidR="00F124CF" w:rsidRDefault="00F124CF" w:rsidP="005C62F5">
            <w:pPr>
              <w:pStyle w:val="Default"/>
              <w:rPr>
                <w:b/>
                <w:bCs/>
              </w:rPr>
            </w:pPr>
          </w:p>
          <w:p w:rsidR="00F124CF" w:rsidRDefault="00F124CF" w:rsidP="005C62F5">
            <w:pPr>
              <w:pStyle w:val="Default"/>
              <w:rPr>
                <w:b/>
                <w:bCs/>
              </w:rPr>
            </w:pPr>
          </w:p>
          <w:p w:rsidR="00F124CF" w:rsidRDefault="00F124CF" w:rsidP="005C62F5">
            <w:pPr>
              <w:pStyle w:val="Default"/>
              <w:rPr>
                <w:b/>
                <w:bCs/>
              </w:rPr>
            </w:pPr>
          </w:p>
          <w:p w:rsidR="00F124CF" w:rsidRDefault="00F124CF" w:rsidP="005C62F5">
            <w:pPr>
              <w:pStyle w:val="Default"/>
              <w:rPr>
                <w:b/>
                <w:bCs/>
              </w:rPr>
            </w:pPr>
          </w:p>
          <w:p w:rsidR="00263D1B" w:rsidRDefault="00263D1B" w:rsidP="00F124CF">
            <w:pPr>
              <w:pStyle w:val="Default"/>
              <w:rPr>
                <w:b/>
                <w:bCs/>
              </w:rPr>
            </w:pPr>
          </w:p>
          <w:p w:rsidR="004E09ED" w:rsidRPr="00165F0D" w:rsidRDefault="00165F0D" w:rsidP="00F124CF">
            <w:pPr>
              <w:pStyle w:val="Default"/>
              <w:rPr>
                <w:b/>
                <w:bCs/>
              </w:rPr>
            </w:pPr>
            <w:r w:rsidRPr="00165F0D">
              <w:rPr>
                <w:b/>
                <w:bCs/>
              </w:rPr>
              <w:lastRenderedPageBreak/>
              <w:t>Communication and Responsibilities</w:t>
            </w:r>
          </w:p>
          <w:p w:rsidR="00593252" w:rsidRDefault="00593252" w:rsidP="00F124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C9059B" w:rsidRDefault="00593252" w:rsidP="00C9059B">
            <w:pPr>
              <w:pStyle w:val="Default"/>
              <w:numPr>
                <w:ilvl w:val="0"/>
                <w:numId w:val="1"/>
              </w:numPr>
            </w:pPr>
            <w:r w:rsidRPr="00F124CF">
              <w:t>Communicate effectively, sensitively and e</w:t>
            </w:r>
            <w:r w:rsidR="00C9059B">
              <w:t>mpathetically with young people</w:t>
            </w:r>
          </w:p>
          <w:p w:rsidR="00593252" w:rsidRPr="00F124CF" w:rsidRDefault="00593252" w:rsidP="00F124CF">
            <w:pPr>
              <w:pStyle w:val="Default"/>
            </w:pPr>
            <w:r w:rsidRPr="00F124CF">
              <w:t xml:space="preserve">from different backgrounds, ensuring practice is sensitive to the diverse needs of all individuals. </w:t>
            </w:r>
          </w:p>
          <w:p w:rsidR="00593252" w:rsidRPr="00F124CF" w:rsidRDefault="00593252" w:rsidP="00F124CF">
            <w:pPr>
              <w:pStyle w:val="Default"/>
              <w:numPr>
                <w:ilvl w:val="0"/>
                <w:numId w:val="1"/>
              </w:numPr>
            </w:pPr>
            <w:r w:rsidRPr="00F124CF">
              <w:t>Communicate effectively and maintain positive and supportive working</w:t>
            </w:r>
          </w:p>
          <w:p w:rsidR="00593252" w:rsidRPr="00F124CF" w:rsidRDefault="00593252" w:rsidP="00F124CF">
            <w:pPr>
              <w:pStyle w:val="Default"/>
            </w:pPr>
            <w:r w:rsidRPr="00F124CF">
              <w:t xml:space="preserve">relationships with clients, colleagues and professionals from other backgrounds. </w:t>
            </w:r>
          </w:p>
          <w:p w:rsidR="00593252" w:rsidRPr="00F124CF" w:rsidRDefault="00593252" w:rsidP="00F124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4CF">
              <w:rPr>
                <w:rFonts w:ascii="Arial" w:hAnsi="Arial" w:cs="Arial"/>
              </w:rPr>
              <w:t xml:space="preserve">Work collaboratively with other outreach officers and programmes in order to </w:t>
            </w:r>
          </w:p>
          <w:p w:rsidR="00593252" w:rsidRPr="00F124CF" w:rsidRDefault="00593252" w:rsidP="00F124CF">
            <w:pPr>
              <w:rPr>
                <w:rFonts w:ascii="Arial" w:hAnsi="Arial" w:cs="Arial"/>
              </w:rPr>
            </w:pPr>
            <w:r w:rsidRPr="00F124CF">
              <w:rPr>
                <w:rFonts w:ascii="Arial" w:hAnsi="Arial" w:cs="Arial"/>
              </w:rPr>
              <w:t xml:space="preserve">ensure that the local organisations receive the most appropriate, high quality information that is relevant to their staff and clients.  </w:t>
            </w:r>
          </w:p>
          <w:tbl>
            <w:tblPr>
              <w:tblW w:w="9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44"/>
            </w:tblGrid>
            <w:tr w:rsidR="00593252" w:rsidRPr="00F017E1" w:rsidTr="00F124CF">
              <w:trPr>
                <w:trHeight w:val="1647"/>
              </w:trPr>
              <w:tc>
                <w:tcPr>
                  <w:tcW w:w="9144" w:type="dxa"/>
                </w:tcPr>
                <w:p w:rsidR="00F124CF" w:rsidRPr="00F124CF" w:rsidRDefault="00593252" w:rsidP="00F124CF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F124CF">
                    <w:rPr>
                      <w:rFonts w:ascii="Arial" w:hAnsi="Arial" w:cs="Arial"/>
                      <w:color w:val="000000"/>
                    </w:rPr>
                    <w:t>Champion the Youth Outreach Programme, GamCare and partner</w:t>
                  </w:r>
                </w:p>
                <w:p w:rsidR="00593252" w:rsidRPr="00F124CF" w:rsidRDefault="00593252" w:rsidP="00F124CF">
                  <w:pPr>
                    <w:autoSpaceDE w:val="0"/>
                    <w:autoSpaceDN w:val="0"/>
                    <w:adjustRightInd w:val="0"/>
                    <w:ind w:left="-68"/>
                    <w:rPr>
                      <w:rFonts w:ascii="Arial" w:hAnsi="Arial" w:cs="Arial"/>
                      <w:color w:val="000000"/>
                    </w:rPr>
                  </w:pPr>
                  <w:r w:rsidRPr="00F124CF">
                    <w:rPr>
                      <w:rFonts w:ascii="Arial" w:hAnsi="Arial" w:cs="Arial"/>
                      <w:color w:val="000000"/>
                    </w:rPr>
                    <w:t xml:space="preserve">services and other products and programmes that support the GamCare partner network and the subject of problem gambling across a range of regional stakeholders and be a point of reference for local services looking to develop their knowledge and understanding of the issue. </w:t>
                  </w:r>
                </w:p>
                <w:p w:rsidR="00593252" w:rsidRPr="00F124CF" w:rsidRDefault="00B33F44" w:rsidP="00F124CF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F124CF">
                    <w:rPr>
                      <w:rFonts w:ascii="Arial" w:hAnsi="Arial" w:cs="Arial"/>
                      <w:color w:val="000000"/>
                    </w:rPr>
                    <w:t>Liaise directly with Ara’s</w:t>
                  </w:r>
                  <w:r w:rsidR="00593252" w:rsidRPr="00F124CF">
                    <w:rPr>
                      <w:rFonts w:ascii="Arial" w:hAnsi="Arial" w:cs="Arial"/>
                      <w:color w:val="000000"/>
                    </w:rPr>
                    <w:t xml:space="preserve"> local services in the region and ensure the </w:t>
                  </w:r>
                </w:p>
                <w:p w:rsidR="00593252" w:rsidRPr="00F124CF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F124CF">
                    <w:rPr>
                      <w:rFonts w:ascii="Arial" w:hAnsi="Arial" w:cs="Arial"/>
                      <w:color w:val="000000"/>
                    </w:rPr>
                    <w:t xml:space="preserve">referral pathway into the service is understood and articulated to trainees. </w:t>
                  </w:r>
                </w:p>
                <w:p w:rsidR="00593252" w:rsidRPr="00F124CF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  <w:p w:rsidR="00593252" w:rsidRPr="00F124CF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  <w:p w:rsidR="00593252" w:rsidRPr="00F124CF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1F4E79" w:themeColor="accent1" w:themeShade="80"/>
                    </w:rPr>
                  </w:pPr>
                  <w:r w:rsidRPr="00F124CF">
                    <w:rPr>
                      <w:rFonts w:ascii="Arial" w:hAnsi="Arial" w:cs="Arial"/>
                      <w:b/>
                      <w:color w:val="1F4E79" w:themeColor="accent1" w:themeShade="80"/>
                    </w:rPr>
                    <w:t>To be noted</w:t>
                  </w:r>
                </w:p>
                <w:p w:rsidR="00593252" w:rsidRPr="00F124CF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  <w:p w:rsidR="00593252" w:rsidRPr="00F124CF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F124CF">
                    <w:rPr>
                      <w:rFonts w:ascii="Arial" w:hAnsi="Arial" w:cs="Arial"/>
                      <w:color w:val="000000"/>
                    </w:rPr>
                    <w:t xml:space="preserve">This job description will be reviewed regularly in the light of the changing service requirements. Any changes will be discussed with the post holder. </w:t>
                  </w:r>
                </w:p>
                <w:p w:rsidR="00593252" w:rsidRPr="00F124CF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F124CF">
                    <w:rPr>
                      <w:rFonts w:ascii="Arial" w:hAnsi="Arial" w:cs="Arial"/>
                      <w:color w:val="000000"/>
                    </w:rPr>
                    <w:t>This is not an exhaustive list of duties and responsibilities, the post holder maybe required to undertake other duties which fall within the grade of the job</w:t>
                  </w:r>
                  <w:r w:rsidR="00B33F44" w:rsidRPr="00F124CF">
                    <w:rPr>
                      <w:rFonts w:ascii="Arial" w:hAnsi="Arial" w:cs="Arial"/>
                      <w:color w:val="000000"/>
                    </w:rPr>
                    <w:t xml:space="preserve">, in discussion with the team leader. </w:t>
                  </w:r>
                </w:p>
                <w:p w:rsidR="00593252" w:rsidRPr="00F124CF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  <w:p w:rsidR="00593252" w:rsidRPr="00F017E1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39"/>
                  </w:tblGrid>
                  <w:tr w:rsidR="00593252" w:rsidRPr="00F124CF" w:rsidTr="005C62F5">
                    <w:trPr>
                      <w:trHeight w:val="1216"/>
                    </w:trPr>
                    <w:tc>
                      <w:tcPr>
                        <w:tcW w:w="9139" w:type="dxa"/>
                      </w:tcPr>
                      <w:p w:rsidR="00593252" w:rsidRPr="00F124CF" w:rsidRDefault="00593252" w:rsidP="00F124CF">
                        <w:pPr>
                          <w:pStyle w:val="Default"/>
                        </w:pPr>
                        <w:r w:rsidRPr="00F124CF">
                          <w:t xml:space="preserve"> </w:t>
                        </w:r>
                      </w:p>
                    </w:tc>
                  </w:tr>
                  <w:tr w:rsidR="00593252" w:rsidRPr="00F124CF" w:rsidTr="005C62F5">
                    <w:trPr>
                      <w:trHeight w:val="103"/>
                    </w:trPr>
                    <w:tc>
                      <w:tcPr>
                        <w:tcW w:w="9139" w:type="dxa"/>
                      </w:tcPr>
                      <w:p w:rsidR="00593252" w:rsidRPr="00F124CF" w:rsidRDefault="00593252" w:rsidP="00F124CF">
                        <w:pPr>
                          <w:pStyle w:val="Default"/>
                        </w:pPr>
                      </w:p>
                    </w:tc>
                  </w:tr>
                </w:tbl>
                <w:p w:rsidR="00593252" w:rsidRPr="00F017E1" w:rsidRDefault="00593252" w:rsidP="00F124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93252" w:rsidRDefault="00593252" w:rsidP="005C62F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B33F44" w:rsidRDefault="00B33F44" w:rsidP="00593252">
      <w:pPr>
        <w:pStyle w:val="Default"/>
        <w:jc w:val="both"/>
      </w:pPr>
    </w:p>
    <w:p w:rsidR="00F124CF" w:rsidRDefault="00593252" w:rsidP="00593252">
      <w:pPr>
        <w:pStyle w:val="Default"/>
        <w:jc w:val="both"/>
      </w:pPr>
      <w:r w:rsidRPr="00165F0D">
        <w:rPr>
          <w:b/>
          <w:bCs/>
        </w:rPr>
        <w:t xml:space="preserve">Person Specification: Knowledge, Experience and Skills </w:t>
      </w:r>
    </w:p>
    <w:p w:rsidR="00F124CF" w:rsidRDefault="00F124CF" w:rsidP="00593252">
      <w:pPr>
        <w:pStyle w:val="Default"/>
        <w:jc w:val="both"/>
      </w:pPr>
    </w:p>
    <w:p w:rsidR="00593252" w:rsidRPr="00165F0D" w:rsidRDefault="00593252" w:rsidP="00593252">
      <w:pPr>
        <w:pStyle w:val="Default"/>
        <w:jc w:val="both"/>
      </w:pPr>
      <w:r w:rsidRPr="00165F0D">
        <w:rPr>
          <w:b/>
          <w:bCs/>
          <w:i/>
          <w:iCs/>
        </w:rPr>
        <w:t xml:space="preserve">Essential </w:t>
      </w:r>
    </w:p>
    <w:p w:rsidR="00B33F44" w:rsidRDefault="00B33F44" w:rsidP="00593252">
      <w:pPr>
        <w:pStyle w:val="Default"/>
        <w:jc w:val="both"/>
        <w:rPr>
          <w:i/>
          <w:iCs/>
          <w:sz w:val="22"/>
          <w:szCs w:val="22"/>
        </w:rPr>
      </w:pPr>
    </w:p>
    <w:p w:rsidR="00593252" w:rsidRDefault="00593252" w:rsidP="00593252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Qualification </w:t>
      </w:r>
    </w:p>
    <w:p w:rsidR="004E09ED" w:rsidRDefault="004E09ED" w:rsidP="00593252">
      <w:pPr>
        <w:pStyle w:val="Default"/>
        <w:jc w:val="both"/>
        <w:rPr>
          <w:sz w:val="22"/>
          <w:szCs w:val="22"/>
        </w:rPr>
      </w:pPr>
    </w:p>
    <w:p w:rsidR="00593252" w:rsidRDefault="00593252" w:rsidP="004E09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See “desirable” </w:t>
      </w:r>
    </w:p>
    <w:p w:rsidR="00593252" w:rsidRDefault="00593252" w:rsidP="00593252">
      <w:pPr>
        <w:pStyle w:val="Default"/>
        <w:jc w:val="both"/>
        <w:rPr>
          <w:sz w:val="22"/>
          <w:szCs w:val="22"/>
        </w:rPr>
      </w:pPr>
    </w:p>
    <w:p w:rsidR="00593252" w:rsidRDefault="00593252" w:rsidP="00593252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Experience </w:t>
      </w:r>
    </w:p>
    <w:p w:rsidR="004E09ED" w:rsidRDefault="004E09ED" w:rsidP="004E09ED">
      <w:pPr>
        <w:pStyle w:val="Default"/>
        <w:jc w:val="both"/>
        <w:rPr>
          <w:sz w:val="23"/>
          <w:szCs w:val="23"/>
        </w:rPr>
      </w:pPr>
    </w:p>
    <w:p w:rsidR="00593252" w:rsidRDefault="00593252" w:rsidP="004E09E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Experience with delivering training products </w:t>
      </w:r>
    </w:p>
    <w:p w:rsidR="00593252" w:rsidRDefault="00593252" w:rsidP="004E09E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Experience promoting services and engaging specific audiences </w:t>
      </w:r>
    </w:p>
    <w:p w:rsidR="00593252" w:rsidRDefault="00593252" w:rsidP="004E09ED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Experience of working with young people or in youth settings </w:t>
      </w:r>
    </w:p>
    <w:p w:rsidR="00593252" w:rsidRDefault="00593252" w:rsidP="004E09E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Experience in championing programmes and demonstrating authority and expertise </w:t>
      </w:r>
    </w:p>
    <w:p w:rsidR="00593252" w:rsidRDefault="00593252" w:rsidP="00593252">
      <w:pPr>
        <w:pStyle w:val="Default"/>
        <w:jc w:val="both"/>
        <w:rPr>
          <w:sz w:val="23"/>
          <w:szCs w:val="23"/>
        </w:rPr>
      </w:pPr>
    </w:p>
    <w:p w:rsidR="00593252" w:rsidRDefault="00593252" w:rsidP="00593252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Skills </w:t>
      </w:r>
    </w:p>
    <w:p w:rsidR="004E09ED" w:rsidRDefault="004E09ED" w:rsidP="00593252">
      <w:pPr>
        <w:pStyle w:val="Default"/>
        <w:jc w:val="both"/>
        <w:rPr>
          <w:sz w:val="22"/>
          <w:szCs w:val="22"/>
        </w:rPr>
      </w:pPr>
    </w:p>
    <w:p w:rsidR="00593252" w:rsidRDefault="00593252" w:rsidP="004E09ED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Excellent facilitation skills </w:t>
      </w:r>
    </w:p>
    <w:p w:rsidR="00593252" w:rsidRDefault="00593252" w:rsidP="004E09ED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Excellent public speaking and presentation skills </w:t>
      </w:r>
    </w:p>
    <w:p w:rsidR="00593252" w:rsidRDefault="00593252" w:rsidP="004E09ED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Excellent IT skills, including data entry </w:t>
      </w:r>
    </w:p>
    <w:p w:rsidR="00593252" w:rsidRDefault="00593252" w:rsidP="004E09ED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Ability to establish and maintain good external relationships with third parties </w:t>
      </w:r>
    </w:p>
    <w:p w:rsidR="004E09ED" w:rsidRDefault="00593252" w:rsidP="004E09ED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Proven self-starter, confident and able to develop, assess and evaluate different </w:t>
      </w:r>
    </w:p>
    <w:p w:rsidR="00593252" w:rsidRDefault="00593252" w:rsidP="004E09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project options </w:t>
      </w:r>
    </w:p>
    <w:p w:rsidR="004E09ED" w:rsidRDefault="00593252" w:rsidP="004E09ED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Ability to act as ambassador for the programm</w:t>
      </w:r>
      <w:r w:rsidR="004E09ED">
        <w:rPr>
          <w:sz w:val="23"/>
          <w:szCs w:val="23"/>
        </w:rPr>
        <w:t xml:space="preserve">e across different settings and </w:t>
      </w:r>
    </w:p>
    <w:p w:rsidR="00593252" w:rsidRDefault="00593252" w:rsidP="004E09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stakeholders </w:t>
      </w:r>
    </w:p>
    <w:p w:rsidR="00165F0D" w:rsidRDefault="00593252" w:rsidP="00165F0D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Genuine interest in working with young people and making positive change in a </w:t>
      </w:r>
    </w:p>
    <w:p w:rsidR="00593252" w:rsidRDefault="00593252" w:rsidP="00165F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community </w:t>
      </w:r>
    </w:p>
    <w:p w:rsidR="00165F0D" w:rsidRDefault="00593252" w:rsidP="00165F0D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Ability to take a non-judgemental approach to gambling, problem gambling and </w:t>
      </w:r>
    </w:p>
    <w:p w:rsidR="00593252" w:rsidRDefault="00593252" w:rsidP="00165F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problem gamblers </w:t>
      </w:r>
    </w:p>
    <w:p w:rsidR="00593252" w:rsidRDefault="00593252" w:rsidP="00593252">
      <w:pPr>
        <w:tabs>
          <w:tab w:val="left" w:pos="8460"/>
        </w:tabs>
        <w:jc w:val="both"/>
        <w:rPr>
          <w:rFonts w:ascii="Arial" w:hAnsi="Arial" w:cs="Arial"/>
          <w:sz w:val="22"/>
          <w:szCs w:val="22"/>
        </w:rPr>
      </w:pPr>
    </w:p>
    <w:p w:rsidR="00593252" w:rsidRDefault="00593252" w:rsidP="00593252">
      <w:pPr>
        <w:tabs>
          <w:tab w:val="left" w:pos="8460"/>
        </w:tabs>
        <w:jc w:val="both"/>
        <w:rPr>
          <w:rFonts w:ascii="Arial" w:hAnsi="Arial" w:cs="Arial"/>
          <w:sz w:val="22"/>
          <w:szCs w:val="22"/>
        </w:rPr>
      </w:pPr>
    </w:p>
    <w:p w:rsidR="004E09ED" w:rsidRPr="00165F0D" w:rsidRDefault="00593252" w:rsidP="00593252">
      <w:pPr>
        <w:pStyle w:val="Default"/>
        <w:jc w:val="both"/>
        <w:rPr>
          <w:b/>
          <w:bCs/>
          <w:i/>
          <w:iCs/>
        </w:rPr>
      </w:pPr>
      <w:r w:rsidRPr="00165F0D">
        <w:rPr>
          <w:b/>
          <w:bCs/>
          <w:i/>
          <w:iCs/>
        </w:rPr>
        <w:t>Desirable</w:t>
      </w:r>
    </w:p>
    <w:p w:rsidR="00593252" w:rsidRDefault="00593252" w:rsidP="00593252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593252" w:rsidRDefault="00593252" w:rsidP="00F124CF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Youth Work qualification </w:t>
      </w:r>
    </w:p>
    <w:p w:rsidR="00593252" w:rsidRDefault="00593252" w:rsidP="00F124CF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Training qualification </w:t>
      </w:r>
    </w:p>
    <w:p w:rsidR="00593252" w:rsidRDefault="00593252" w:rsidP="00F124CF">
      <w:pPr>
        <w:pStyle w:val="Default"/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Understanding of additions in general </w:t>
      </w:r>
    </w:p>
    <w:p w:rsidR="00593252" w:rsidRDefault="00593252" w:rsidP="00F124CF">
      <w:pPr>
        <w:pStyle w:val="Default"/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Understanding of problem Gambling </w:t>
      </w:r>
    </w:p>
    <w:p w:rsidR="00593252" w:rsidRDefault="00593252" w:rsidP="00F124CF">
      <w:pPr>
        <w:pStyle w:val="Default"/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Experience of working with those affected by additions in general or problem gambling </w:t>
      </w:r>
    </w:p>
    <w:p w:rsidR="005E19AB" w:rsidRDefault="005E19AB"/>
    <w:sectPr w:rsidR="005E19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52" w:rsidRDefault="00593252" w:rsidP="00593252">
      <w:r>
        <w:separator/>
      </w:r>
    </w:p>
  </w:endnote>
  <w:endnote w:type="continuationSeparator" w:id="0">
    <w:p w:rsidR="00593252" w:rsidRDefault="00593252" w:rsidP="0059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52" w:rsidRDefault="00593252" w:rsidP="00593252">
      <w:r>
        <w:separator/>
      </w:r>
    </w:p>
  </w:footnote>
  <w:footnote w:type="continuationSeparator" w:id="0">
    <w:p w:rsidR="00593252" w:rsidRDefault="00593252" w:rsidP="0059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44" w:rsidRDefault="00B33F44" w:rsidP="00B33F44">
    <w:pPr>
      <w:pStyle w:val="Header"/>
      <w:ind w:left="6480"/>
    </w:pPr>
    <w:r>
      <w:tab/>
      <w:t xml:space="preserve">                                                                                                                                              </w:t>
    </w:r>
    <w:r w:rsidRPr="009E6B8B">
      <w:rPr>
        <w:rFonts w:cs="Arial"/>
        <w:b/>
        <w:noProof/>
        <w:color w:val="006666"/>
        <w:sz w:val="16"/>
        <w:szCs w:val="16"/>
      </w:rPr>
      <w:drawing>
        <wp:inline distT="0" distB="0" distL="0" distR="0" wp14:anchorId="349C24F2" wp14:editId="654239D8">
          <wp:extent cx="1666800" cy="799200"/>
          <wp:effectExtent l="0" t="0" r="0" b="1270"/>
          <wp:docPr id="1" name="Picture 1" descr="C:\Users\HollyHudson\Documents\New logo with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Hudson\Documents\New logo with 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32"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8FA3FD"/>
    <w:multiLevelType w:val="hybridMultilevel"/>
    <w:tmpl w:val="28F0DF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2CE054"/>
    <w:multiLevelType w:val="hybridMultilevel"/>
    <w:tmpl w:val="407263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C4842"/>
    <w:multiLevelType w:val="hybridMultilevel"/>
    <w:tmpl w:val="E11519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E5CA2D"/>
    <w:multiLevelType w:val="hybridMultilevel"/>
    <w:tmpl w:val="BA9350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583CAD"/>
    <w:multiLevelType w:val="hybridMultilevel"/>
    <w:tmpl w:val="340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5FA3"/>
    <w:multiLevelType w:val="hybridMultilevel"/>
    <w:tmpl w:val="D522A5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4772BE5"/>
    <w:multiLevelType w:val="hybridMultilevel"/>
    <w:tmpl w:val="1BE7BB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2349B"/>
    <w:multiLevelType w:val="hybridMultilevel"/>
    <w:tmpl w:val="CBD065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730EAA"/>
    <w:multiLevelType w:val="hybridMultilevel"/>
    <w:tmpl w:val="7A8CB2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52"/>
    <w:rsid w:val="00165F0D"/>
    <w:rsid w:val="00263D1B"/>
    <w:rsid w:val="004E09ED"/>
    <w:rsid w:val="00521EFF"/>
    <w:rsid w:val="00593252"/>
    <w:rsid w:val="005E19AB"/>
    <w:rsid w:val="007F1284"/>
    <w:rsid w:val="00B33F44"/>
    <w:rsid w:val="00C9059B"/>
    <w:rsid w:val="00DD768B"/>
    <w:rsid w:val="00F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93FC77-AB31-42BF-9A40-057B1947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3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2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3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2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3252"/>
    <w:pPr>
      <w:ind w:left="720"/>
      <w:contextualSpacing/>
    </w:pPr>
  </w:style>
  <w:style w:type="paragraph" w:styleId="NoSpacing">
    <w:name w:val="No Spacing"/>
    <w:uiPriority w:val="1"/>
    <w:qFormat/>
    <w:rsid w:val="0059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932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Flourentzou</dc:creator>
  <cp:keywords/>
  <dc:description/>
  <cp:lastModifiedBy>Lindsey Taylor</cp:lastModifiedBy>
  <cp:revision>2</cp:revision>
  <dcterms:created xsi:type="dcterms:W3CDTF">2020-01-31T11:10:00Z</dcterms:created>
  <dcterms:modified xsi:type="dcterms:W3CDTF">2020-01-31T11:10:00Z</dcterms:modified>
</cp:coreProperties>
</file>